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Местные нормативы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градостроительного проектирования муниципального района Пестравский Самарской области</w:t>
      </w:r>
    </w:p>
    <w:p>
      <w:pPr>
        <w:pStyle w:val="style24"/>
        <w:jc w:val="both"/>
      </w:pPr>
      <w:r>
        <w:rPr/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1. Общие положения</w:t>
      </w:r>
    </w:p>
    <w:p>
      <w:pPr>
        <w:pStyle w:val="style24"/>
        <w:jc w:val="both"/>
      </w:pPr>
      <w:r>
        <w:rPr/>
      </w:r>
    </w:p>
    <w:p>
      <w:pPr>
        <w:pStyle w:val="style24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муниципального района Пестравский Самарской области (далее также - местные нормативы) разработаны в соответствии с положениями 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</w:rPr>
        <w:t>статей 29.1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, 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</w:rPr>
        <w:t>29.</w:t>
      </w:r>
      <w:r>
        <w:rPr>
          <w:rFonts w:ascii="Times New Roman" w:cs="Times New Roman" w:hAnsi="Times New Roman"/>
          <w:sz w:val="28"/>
          <w:szCs w:val="28"/>
        </w:rPr>
        <w:t xml:space="preserve">4 Градостроительного кодекса Российской Федерации, </w:t>
      </w:r>
      <w:r>
        <w:rPr>
          <w:rStyle w:val="style16"/>
          <w:rFonts w:ascii="Times New Roman" w:cs="Times New Roman" w:hAnsi="Times New Roman"/>
          <w:sz w:val="28"/>
          <w:szCs w:val="28"/>
        </w:rPr>
        <w:t>Законом</w:t>
      </w:r>
      <w:r>
        <w:rPr>
          <w:rFonts w:ascii="Times New Roman" w:cs="Times New Roman" w:hAnsi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>
      <w:pPr>
        <w:pStyle w:val="style24"/>
        <w:spacing w:after="0" w:before="200"/>
        <w:ind w:firstLine="540" w:left="0" w:right="0"/>
        <w:jc w:val="both"/>
      </w:pPr>
      <w:bookmarkStart w:id="1" w:name="Par36"/>
      <w:bookmarkStart w:id="2" w:name="Par37"/>
      <w:bookmarkEnd w:id="1"/>
      <w:bookmarkEnd w:id="2"/>
      <w:r>
        <w:rPr>
          <w:rFonts w:ascii="Times New Roman" w:cs="Times New Roman" w:hAnsi="Times New Roman"/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Пестравский Самарской области.</w:t>
      </w:r>
    </w:p>
    <w:p>
      <w:pPr>
        <w:pStyle w:val="style24"/>
        <w:spacing w:after="0" w:before="200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1.2. Настоящие местные нормативы включают в себя:</w:t>
      </w:r>
    </w:p>
    <w:p>
      <w:pPr>
        <w:pStyle w:val="style24"/>
        <w:spacing w:after="0" w:before="200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указанные в </w:t>
      </w:r>
      <w:hyperlink w:anchor="Par36">
        <w:r>
          <w:rPr>
            <w:rStyle w:val="style16"/>
            <w:rStyle w:val="style16"/>
            <w:rFonts w:ascii="Times New Roman" w:cs="Times New Roman" w:hAnsi="Times New Roman"/>
            <w:sz w:val="28"/>
            <w:szCs w:val="28"/>
          </w:rPr>
          <w:t>абзаце втором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пункта 1.1 настоящих местных нормативов); </w:t>
      </w:r>
    </w:p>
    <w:p>
      <w:pPr>
        <w:pStyle w:val="style24"/>
        <w:spacing w:after="0" w:before="200"/>
      </w:pPr>
      <w:r>
        <w:rPr>
          <w:rFonts w:ascii="Times New Roman" w:cs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нормативов.</w:t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0" w:left="1701" w:right="851" w:top="1134"/>
          <w:pgNumType w:fmt="decimal"/>
          <w:formProt w:val="false"/>
          <w:textDirection w:val="lrTb"/>
          <w:docGrid w:charSpace="8192" w:linePitch="260" w:type="default"/>
        </w:sectPr>
        <w:pStyle w:val="style26"/>
      </w:pPr>
      <w:r>
        <w:rPr/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2.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Пестравский Самарской области и предельные значения расчетных показателей максимально допустимого уровня территориальной доступности</w:t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таких объектов для населения муниципального района Пестравский</w:t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Самарской области</w:t>
      </w:r>
    </w:p>
    <w:p>
      <w:pPr>
        <w:pStyle w:val="style24"/>
        <w:jc w:val="both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30"/>
        <w:gridCol w:w="1665"/>
        <w:gridCol w:w="1530"/>
        <w:gridCol w:w="3705"/>
      </w:tblGrid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N п/п</w:t>
            </w:r>
          </w:p>
        </w:tc>
        <w:tc>
          <w:tcPr>
            <w:tcW w:type="dxa" w:w="166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Наименование вида объекта местного значения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type="dxa" w:w="3705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единица измерения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значение показателя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вид доступности, единица измерения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значение показателя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образования</w:t>
            </w:r>
          </w:p>
        </w:tc>
      </w:tr>
      <w:tr>
        <w:trPr>
          <w:trHeight w:hRule="atLeast" w:val="657"/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Общеобразовательные организации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учащихся на 1 тысячу человек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110</w:t>
            </w:r>
          </w:p>
        </w:tc>
        <w:tc>
          <w:tcPr>
            <w:tcW w:type="dxa" w:w="171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пунктах: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 ступени обучения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II и III ступени обучения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2 000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4 000</w:t>
            </w:r>
          </w:p>
        </w:tc>
      </w:tr>
      <w:tr>
        <w:trPr>
          <w:trHeight w:hRule="atLeast" w:val="621"/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 &lt;*&gt;: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 ступени обучения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II и III ступени обучения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30 &lt;**&gt;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--------------------------------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Примечания: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>
        <w:trPr>
          <w:trHeight w:hRule="atLeast" w:val="1150"/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Дошкольные образовательные организации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мест на 1 тысячу человек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55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500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Организации дополнительного образования детей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мест на 1 тысячу человек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45</w:t>
            </w:r>
          </w:p>
        </w:tc>
        <w:tc>
          <w:tcPr>
            <w:tcW w:type="dxa" w:w="171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физической культуры и массового спорта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Физкультурно-спортивные залы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квадратные метры общей площади пола на 1 тысячу человек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350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библиотечного обслуживания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5.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на каждую 1 тысячу населения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320"/>
            <w:gridSpan w:val="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с филиалом в данном населенном пункте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филиал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отдел внестационарного обслуживания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 населении, тысяч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единиц хранения в тысячах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читательских мест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свыше 1 до 2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6 - 7,5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5 - 6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свыше 2 до 5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5 - 6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4 - 5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свыше 5 до 10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4,5 - 5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3 - 4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Примечания: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gridSpan w:val="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070"/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6.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Детские библиотеки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на каждую 1 тысячу детского населения</w:t>
            </w:r>
          </w:p>
        </w:tc>
        <w:tc>
          <w:tcPr>
            <w:tcW w:type="dxa" w:w="114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type="dxa" w:w="750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75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trHeight w:hRule="atLeast" w:val="597"/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7.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Юношеские библиотеки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320"/>
            <w:gridSpan w:val="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Примечание: в муниципальном районе детская и юношеская библиотеки должны быть должны быть объединенные библиотеки для детей и юношества.</w:t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gridSpan w:val="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культуры и искусства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8.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 на муниципальный район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9.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Учреждения культуры клубного типа сельских поселений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мест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до 500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 зрительских мест на каждые 100 жителей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type="dxa" w:w="750"/>
            <w:gridSpan w:val="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150 - 200 зрительских мест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100 зрительских мест на 1 тысячу жителей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от 5 тысяч человек и более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70 зрительских мест на 1 тысячу жителей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750"/>
            <w:gridSpan w:val="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 числом жителей до 100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передвижная форма обслуживания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10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квадратный метр на 1 человека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1 000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11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Парки культуры и отдыха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320"/>
            <w:gridSpan w:val="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обеспечения объектами транспортной инфраструктуры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12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&lt;*&gt;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--------------------------------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&lt;*&gt; Примечание: при расчете обеспеченности учитываются автомобильные дороги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общего пользования федерального значения, автомобильные дороги общего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пользования регионального или межмуниципального значения, автомобильные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дороги местного значения муниципального района, находящиеся в границах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населенных пунктов.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13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уровень обеспеченности в процентах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Из расчета не менее чем для 70% расчетного парка индивидуальных легковых автомобилей, в том числе, %:</w:t>
            </w:r>
          </w:p>
        </w:tc>
        <w:tc>
          <w:tcPr>
            <w:tcW w:type="dxa" w:w="171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 входов в жилые дома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100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жилые районы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 входов в пассажирские помещения вокзалов, входов в места крупных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учреждений торговли и общественного питания</w:t>
            </w:r>
          </w:p>
        </w:tc>
        <w:tc>
          <w:tcPr>
            <w:tcW w:type="dxa" w:w="75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150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промышленные и коммунально-складские зоны (районы)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/>
            </w:r>
          </w:p>
        </w:tc>
        <w:tc>
          <w:tcPr>
            <w:tcW w:type="dxa" w:w="75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зоны массового кратковременного отдыха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 входов в парки, на выставки и стадионы</w:t>
            </w:r>
          </w:p>
        </w:tc>
        <w:tc>
          <w:tcPr>
            <w:tcW w:type="dxa" w:w="75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обращения с отходами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14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Твердые бытовые отходы: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кг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литры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50"/>
            <w:gridSpan w:val="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190 - 225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900 - 1000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 от прочих жилых зданий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300 - 450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1100 - 1500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Общее количество с учетом общественных зданий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280 - 300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1400 - 1500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Жидкие из выгребов (при отсутствии канализации)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2000 - 35000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Смет с 1 кв. м твердых покрытий улиц, площадей и парков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5 - 15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8 - 20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gridSpan w:val="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обеспечения инженерной и коммунальной инфраструктурой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15.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электроснабжения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Степень благоустройства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Электропотребление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Использование максимума электрической нагрузки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50"/>
            <w:gridSpan w:val="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Сельские населенные пункты (без кондиционеров)</w:t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gridSpan w:val="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не оборудованные стационарными электроплитами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950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4100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оборудованные стационарными электроплитами (100% охвата)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2400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5800</w:t>
            </w:r>
          </w:p>
        </w:tc>
        <w:tc>
          <w:tcPr>
            <w:tcW w:type="dxa" w:w="13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750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16.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водоснабжения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140"/>
            <w:gridSpan w:val="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для зданий с местными (квартирными) водонагревателями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200, со снижением до 180 к 2025 году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для объектов обслуживания повседневного пользования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1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20"/>
            <w:gridSpan w:val="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17.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водоотведения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Следует принимать равным удельным среднесуточным расходам холодной и горячей воды на хозяйственно-питьевые нужды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140"/>
            <w:gridSpan w:val="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70</w:t>
            </w:r>
          </w:p>
        </w:tc>
        <w:tc>
          <w:tcPr>
            <w:tcW w:type="dxa" w:w="17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gridSpan w:val="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18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газоснабжения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приготовление пищи на плите - 0,5;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горячее водоснабжение с использованием газового проточного водонагревателя - 0,5;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14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19.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теплоснабжения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удельный расход тепловой энергии системой отопления здания, кВт·ч/кв. м, за отопительный период</w:t>
            </w:r>
          </w:p>
        </w:tc>
        <w:tc>
          <w:tcPr>
            <w:tcW w:type="dxa" w:w="370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Вид объекта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Количество этажей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1 - 3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4 - 5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6 - 9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10 и более</w:t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Жилые здания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186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203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Дошкольные образовательные организации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284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организации ритуальных услуг и содержания мест захоронения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20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Кладбища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гектаров на 1 тысячу человек</w:t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кладбища традиционного захоронения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0,24</w:t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930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>
        <w:trPr>
          <w:cantSplit w:val="false"/>
        </w:trPr>
        <w:tc>
          <w:tcPr>
            <w:tcW w:type="dxa" w:w="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sectPr>
      <w:headerReference r:id="rId3" w:type="default"/>
      <w:type w:val="nextPage"/>
      <w:pgSz w:h="11906" w:orient="landscape" w:w="16838"/>
      <w:pgMar w:bottom="566" w:footer="0" w:gutter="0" w:header="0" w:left="1440" w:right="1440" w:top="1133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</w:pPr>
    <w:r>
      <w:rPr/>
      <w:t>Проект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</w:pPr>
    <w:r>
      <w:rPr/>
      <w:t>Проект</w:t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Верхний колонтитул Знак"/>
    <w:basedOn w:val="style15"/>
    <w:next w:val="style17"/>
    <w:rPr>
      <w:rFonts w:cs="Times New Roman"/>
      <w:lang w:eastAsia="ru-RU"/>
    </w:rPr>
  </w:style>
  <w:style w:styleId="style18" w:type="character">
    <w:name w:val="Нижний колонтитул Знак"/>
    <w:basedOn w:val="style15"/>
    <w:next w:val="style18"/>
    <w:rPr>
      <w:rFonts w:cs="Times New Roman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ConsPlusNormal"/>
    <w:next w:val="style2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color w:val="00000A"/>
      <w:sz w:val="20"/>
      <w:szCs w:val="20"/>
      <w:lang w:bidi="ar-SA" w:eastAsia="ru-RU" w:val="ru-RU"/>
    </w:rPr>
  </w:style>
  <w:style w:styleId="style25" w:type="paragraph">
    <w:name w:val="ConsPlusTitle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b/>
      <w:bCs/>
      <w:color w:val="00000A"/>
      <w:sz w:val="20"/>
      <w:szCs w:val="20"/>
      <w:lang w:bidi="ar-SA" w:eastAsia="ru-RU" w:val="ru-RU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2017-10-13T05:45:00.00Z</dcterms:created>
  <dc:creator>Елена Гранкина</dc:creator>
  <cp:lastModifiedBy>Елена Гранкина</cp:lastModifiedBy>
  <cp:lastPrinted>2017-12-15T14:28:18.00Z</cp:lastPrinted>
  <dcterms:modified xsi:type="dcterms:W3CDTF">2017-10-13T05:46:00.00Z</dcterms:modified>
  <cp:revision>3</cp:revision>
</cp:coreProperties>
</file>